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A0" w:rsidRDefault="003629A0" w:rsidP="003629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</w:t>
      </w:r>
      <w:r w:rsidRPr="00D91FAD">
        <w:rPr>
          <w:rFonts w:ascii="Arial" w:hAnsi="Arial" w:cs="Arial"/>
          <w:b/>
        </w:rPr>
        <w:t xml:space="preserve">ипсово </w:t>
      </w:r>
      <w:r>
        <w:rPr>
          <w:rFonts w:ascii="Arial" w:hAnsi="Arial" w:cs="Arial"/>
          <w:b/>
        </w:rPr>
        <w:t xml:space="preserve">декоративно </w:t>
      </w:r>
      <w:r w:rsidRPr="00D91FAD">
        <w:rPr>
          <w:rFonts w:ascii="Arial" w:hAnsi="Arial" w:cs="Arial"/>
          <w:b/>
        </w:rPr>
        <w:t>покритие</w:t>
      </w:r>
      <w:r>
        <w:rPr>
          <w:rFonts w:ascii="Arial" w:hAnsi="Arial" w:cs="Arial"/>
          <w:b/>
        </w:rPr>
        <w:t>, имащо златист ефект, със специални златисти и ярки пигменти с променлив нюанс („шанжан”), за придаване топлина на интериорната атмосфера.</w:t>
      </w:r>
    </w:p>
    <w:p w:rsidR="003629A0" w:rsidRDefault="003629A0" w:rsidP="003629A0">
      <w:pPr>
        <w:rPr>
          <w:rFonts w:ascii="Arial" w:hAnsi="Arial" w:cs="Arial"/>
          <w:b/>
        </w:rPr>
      </w:pPr>
    </w:p>
    <w:p w:rsidR="003629A0" w:rsidRDefault="003629A0" w:rsidP="003629A0">
      <w:pPr>
        <w:rPr>
          <w:rFonts w:ascii="Arial" w:hAnsi="Arial" w:cs="Arial"/>
          <w:b/>
        </w:rPr>
      </w:pPr>
    </w:p>
    <w:p w:rsidR="003629A0" w:rsidRDefault="003629A0" w:rsidP="003629A0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3629A0" w:rsidRPr="00D91FAD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</w:rPr>
      </w:pPr>
      <w:proofErr w:type="gramStart"/>
      <w:r w:rsidRPr="009A16B8">
        <w:rPr>
          <w:rFonts w:ascii="Arial" w:hAnsi="Arial" w:cs="Arial"/>
          <w:b/>
          <w:lang w:val="en-US"/>
        </w:rPr>
        <w:t>EMPHASIS</w:t>
      </w:r>
      <w:r>
        <w:rPr>
          <w:rFonts w:ascii="Arial" w:hAnsi="Arial" w:cs="Arial"/>
        </w:rPr>
        <w:t xml:space="preserve"> се състои от натурални и синтетични масла и смоли, много фини инертни пълнители,</w:t>
      </w:r>
      <w:r w:rsidRPr="009A16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добавки, способствуващи да придадат отлична обработваемост, позволяваща постигането на идеални огледални повърхности, златисти добавки, придаващи уникален и характерен вид и цветова палитра.</w:t>
      </w:r>
      <w:proofErr w:type="gramEnd"/>
    </w:p>
    <w:p w:rsidR="003629A0" w:rsidRPr="009A16B8" w:rsidRDefault="003629A0" w:rsidP="003629A0">
      <w:pPr>
        <w:rPr>
          <w:rFonts w:ascii="Arial" w:hAnsi="Arial" w:cs="Arial"/>
        </w:rPr>
      </w:pPr>
      <w:proofErr w:type="gramStart"/>
      <w:r w:rsidRPr="009A16B8">
        <w:rPr>
          <w:rFonts w:ascii="Arial" w:hAnsi="Arial" w:cs="Arial"/>
          <w:b/>
          <w:lang w:val="en-US"/>
        </w:rPr>
        <w:t>EMPHASIS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притежава добра еластичност и сцепление, не е запалим, на водна основа е и следователно е безвреден за хората и околната среда, също така е миещ се.</w:t>
      </w:r>
      <w:proofErr w:type="gramEnd"/>
    </w:p>
    <w:p w:rsidR="003629A0" w:rsidRDefault="003629A0" w:rsidP="003629A0">
      <w:pPr>
        <w:rPr>
          <w:rFonts w:ascii="Arial" w:hAnsi="Arial" w:cs="Arial"/>
        </w:rPr>
      </w:pPr>
    </w:p>
    <w:p w:rsidR="003629A0" w:rsidRPr="00D91FAD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3629A0" w:rsidRDefault="003629A0" w:rsidP="003629A0">
      <w:pPr>
        <w:rPr>
          <w:rFonts w:ascii="Arial" w:hAnsi="Arial" w:cs="Arial"/>
        </w:rPr>
      </w:pPr>
    </w:p>
    <w:p w:rsidR="003629A0" w:rsidRPr="00D91FAD" w:rsidRDefault="003629A0" w:rsidP="003629A0">
      <w:pPr>
        <w:rPr>
          <w:rFonts w:ascii="Arial" w:hAnsi="Arial" w:cs="Arial"/>
        </w:rPr>
      </w:pPr>
      <w:proofErr w:type="gramStart"/>
      <w:r w:rsidRPr="009A16B8">
        <w:rPr>
          <w:rFonts w:ascii="Arial" w:hAnsi="Arial" w:cs="Arial"/>
          <w:b/>
          <w:lang w:val="en-US"/>
        </w:rPr>
        <w:t>EMPHASIS</w:t>
      </w:r>
      <w:r>
        <w:rPr>
          <w:rFonts w:ascii="Arial" w:hAnsi="Arial" w:cs="Arial"/>
        </w:rPr>
        <w:t xml:space="preserve"> представлява идеално решение за интериора на всичките помещения за обитаване, където се желае постигането на висококачествено крайно покритие със златист ефект, имащо добра устойчивост и възможност за миене.</w:t>
      </w:r>
      <w:proofErr w:type="gramEnd"/>
      <w:r>
        <w:rPr>
          <w:rFonts w:ascii="Arial" w:hAnsi="Arial" w:cs="Arial"/>
        </w:rPr>
        <w:t xml:space="preserve"> Продуктът е предназначен за хотелски зали, банки, офиси, магазини и за обзавеждане на особено елегантни интериори. Подходящ е за полагане върху най-различни носещи основи, като строителна мазилка, гипс, гипсокартон, дървени мебели и панели, боядисани стени, стига повърхностите им да са идеално гладки, здрави, чисти и </w:t>
      </w:r>
      <w:r w:rsidRPr="00D91FAD">
        <w:rPr>
          <w:rFonts w:ascii="Arial" w:hAnsi="Arial" w:cs="Arial"/>
        </w:rPr>
        <w:t>без наличие на влага и избиване на солни петна.</w:t>
      </w:r>
    </w:p>
    <w:p w:rsidR="003629A0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НАЧИН НА </w:t>
      </w:r>
      <w:r w:rsidRPr="00D91FAD">
        <w:rPr>
          <w:rFonts w:ascii="Arial" w:hAnsi="Arial" w:cs="Arial"/>
        </w:rPr>
        <w:t>П</w:t>
      </w:r>
      <w:r>
        <w:rPr>
          <w:rFonts w:ascii="Arial" w:hAnsi="Arial" w:cs="Arial"/>
        </w:rPr>
        <w:t>ОЛАГА</w:t>
      </w:r>
      <w:r w:rsidRPr="00D91FAD">
        <w:rPr>
          <w:rFonts w:ascii="Arial" w:hAnsi="Arial" w:cs="Arial"/>
        </w:rPr>
        <w:t>НЕ:</w:t>
      </w:r>
    </w:p>
    <w:p w:rsidR="003629A0" w:rsidRPr="00D91FAD" w:rsidRDefault="003629A0" w:rsidP="003629A0">
      <w:pPr>
        <w:rPr>
          <w:rFonts w:ascii="Arial" w:hAnsi="Arial" w:cs="Arial"/>
        </w:rPr>
      </w:pPr>
    </w:p>
    <w:p w:rsidR="003629A0" w:rsidRPr="003A4804" w:rsidRDefault="003629A0" w:rsidP="00362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 се почисти старателно повърхността, която ще се покрива, като се премахнат не добре закрепените участъци. Полага се една ръка с </w:t>
      </w:r>
      <w:r>
        <w:rPr>
          <w:rFonts w:ascii="Arial" w:hAnsi="Arial" w:cs="Arial"/>
          <w:b/>
          <w:lang w:val="en-US"/>
        </w:rPr>
        <w:t>PRIMER</w:t>
      </w:r>
      <w:r>
        <w:rPr>
          <w:rFonts w:ascii="Arial" w:hAnsi="Arial" w:cs="Arial"/>
          <w:b/>
        </w:rPr>
        <w:t xml:space="preserve"> А</w:t>
      </w:r>
      <w:r>
        <w:rPr>
          <w:rFonts w:ascii="Arial" w:hAnsi="Arial" w:cs="Arial"/>
        </w:rPr>
        <w:t xml:space="preserve">, </w:t>
      </w:r>
    </w:p>
    <w:p w:rsidR="003629A0" w:rsidRDefault="003629A0" w:rsidP="003629A0">
      <w:pPr>
        <w:rPr>
          <w:rFonts w:ascii="Arial" w:hAnsi="Arial" w:cs="Arial"/>
        </w:rPr>
      </w:pPr>
      <w:r w:rsidRPr="00D91FAD">
        <w:rPr>
          <w:rFonts w:ascii="Arial" w:hAnsi="Arial" w:cs="Arial"/>
        </w:rPr>
        <w:t>до пълното насищане  на носещата основа.</w:t>
      </w:r>
    </w:p>
    <w:p w:rsidR="003629A0" w:rsidRPr="00D95315" w:rsidRDefault="003629A0" w:rsidP="00362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Върху неравна и негладка повърхност, да се нанесат няколко ръце от </w:t>
      </w:r>
      <w:r w:rsidRPr="00D91FAD">
        <w:rPr>
          <w:rFonts w:ascii="Arial" w:hAnsi="Arial" w:cs="Arial"/>
          <w:b/>
          <w:lang w:val="en-US"/>
        </w:rPr>
        <w:t>PLASTUC</w:t>
      </w:r>
      <w:r w:rsidRPr="00D91FAD">
        <w:rPr>
          <w:rFonts w:ascii="Arial" w:hAnsi="Arial" w:cs="Arial"/>
          <w:b/>
        </w:rPr>
        <w:t xml:space="preserve"> тип А</w:t>
      </w:r>
      <w:r>
        <w:rPr>
          <w:rFonts w:ascii="Arial" w:hAnsi="Arial" w:cs="Arial"/>
        </w:rPr>
        <w:t xml:space="preserve">, </w:t>
      </w:r>
      <w:r w:rsidRPr="00D91FAD">
        <w:rPr>
          <w:rFonts w:ascii="Arial" w:hAnsi="Arial" w:cs="Arial"/>
          <w:b/>
          <w:lang w:val="en-US"/>
        </w:rPr>
        <w:t>PLASTUC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SPRAY</w:t>
      </w:r>
      <w:r>
        <w:rPr>
          <w:rFonts w:ascii="Arial" w:hAnsi="Arial" w:cs="Arial"/>
        </w:rPr>
        <w:t xml:space="preserve"> или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STUCCO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IN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POLVERE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MP</w:t>
      </w:r>
      <w:r>
        <w:rPr>
          <w:rFonts w:ascii="Arial" w:hAnsi="Arial" w:cs="Arial"/>
        </w:rPr>
        <w:t xml:space="preserve">, като се заглади със стоманена маламашка до постигането на идеално гладка и полирана повърхност. Върху така получената носеща основа, след доброто й изсъхване, да се разстеле със стоманена шпакла една ръка от </w:t>
      </w:r>
      <w:r w:rsidRPr="009A16B8">
        <w:rPr>
          <w:rFonts w:ascii="Arial" w:hAnsi="Arial" w:cs="Arial"/>
          <w:b/>
          <w:lang w:val="en-US"/>
        </w:rPr>
        <w:t>EMPHASIS</w:t>
      </w:r>
      <w:r>
        <w:rPr>
          <w:rFonts w:ascii="Arial" w:hAnsi="Arial" w:cs="Arial"/>
        </w:rPr>
        <w:t>, на широки нанасяния, до пълното покриване на подложката. Да се изчака 5 – 8 часа и след това да се нанесе втора ръка, оформяйки желания ефект.</w:t>
      </w:r>
    </w:p>
    <w:p w:rsidR="003629A0" w:rsidRPr="00D91FAD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</w:rPr>
      </w:pPr>
    </w:p>
    <w:p w:rsidR="003629A0" w:rsidRPr="007D1851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3629A0" w:rsidRPr="00D91FAD" w:rsidRDefault="003629A0" w:rsidP="003629A0">
      <w:pPr>
        <w:rPr>
          <w:rFonts w:ascii="Arial" w:hAnsi="Arial" w:cs="Arial"/>
        </w:rPr>
      </w:pPr>
    </w:p>
    <w:p w:rsidR="003629A0" w:rsidRPr="000408C0" w:rsidRDefault="003629A0" w:rsidP="003629A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Преди употреба, продуктът трябва да се разбърка старателно.</w:t>
      </w:r>
    </w:p>
    <w:p w:rsidR="003629A0" w:rsidRPr="00D91FAD" w:rsidRDefault="003629A0" w:rsidP="003629A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 xml:space="preserve">Преди да се пристъпи към нанасянето, да се подсигури наличието на идеално суха и „узряла” носеща основа, идеално закрепена към </w:t>
      </w:r>
      <w:r w:rsidRPr="00D91FAD">
        <w:rPr>
          <w:rFonts w:ascii="Arial" w:hAnsi="Arial" w:cs="Arial"/>
          <w:b/>
          <w:u w:val="single"/>
        </w:rPr>
        <w:lastRenderedPageBreak/>
        <w:t>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3629A0" w:rsidRPr="00D91FAD" w:rsidRDefault="003629A0" w:rsidP="003629A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3629A0" w:rsidRPr="00D91FAD" w:rsidRDefault="003629A0" w:rsidP="003629A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3629A0" w:rsidRPr="00D91FAD" w:rsidRDefault="003629A0" w:rsidP="003629A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3629A0" w:rsidRPr="001565B3" w:rsidRDefault="003629A0" w:rsidP="003629A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  <w:r w:rsidRPr="001565B3">
        <w:rPr>
          <w:rFonts w:ascii="Arial" w:hAnsi="Arial" w:cs="Arial"/>
          <w:b/>
          <w:u w:val="single"/>
        </w:rPr>
        <w:t xml:space="preserve"> </w:t>
      </w:r>
    </w:p>
    <w:p w:rsidR="003629A0" w:rsidRPr="00D91FAD" w:rsidRDefault="003629A0" w:rsidP="003629A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осигурят скелета, с цел да се осигури непрекъснатост на работата до архитектурните прекъсващи елементи, като по този начин се избегне образуването на наслагвания, прехвърляния и разлики в цвета</w:t>
      </w:r>
      <w:r>
        <w:rPr>
          <w:rFonts w:ascii="Arial" w:hAnsi="Arial" w:cs="Arial"/>
          <w:b/>
          <w:u w:val="single"/>
        </w:rPr>
        <w:t>.</w:t>
      </w:r>
    </w:p>
    <w:p w:rsidR="003629A0" w:rsidRPr="00D91FAD" w:rsidRDefault="003629A0" w:rsidP="003629A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 единствена партида за работата или колкото може по-малко боя за свършване на определените части на работата, с цел да не се прояви очевидна разлика в тоналността.</w:t>
      </w:r>
    </w:p>
    <w:p w:rsidR="003629A0" w:rsidRPr="00D91FAD" w:rsidRDefault="003629A0" w:rsidP="003629A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Като се имат предвид и други възможни ситуации на интервенция, в случай на необходимост да се потърси нашата техническа асистенция.</w:t>
      </w:r>
    </w:p>
    <w:p w:rsidR="003629A0" w:rsidRPr="007D1851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3629A0" w:rsidRDefault="003629A0" w:rsidP="003629A0">
      <w:pPr>
        <w:ind w:left="4320" w:hanging="4320"/>
        <w:rPr>
          <w:rFonts w:ascii="Arial" w:hAnsi="Arial" w:cs="Arial"/>
          <w:b/>
        </w:rPr>
      </w:pPr>
    </w:p>
    <w:p w:rsidR="003629A0" w:rsidRPr="00D91FAD" w:rsidRDefault="003629A0" w:rsidP="003629A0">
      <w:pPr>
        <w:rPr>
          <w:rFonts w:ascii="Arial" w:hAnsi="Arial" w:cs="Arial"/>
        </w:rPr>
      </w:pPr>
    </w:p>
    <w:p w:rsidR="003629A0" w:rsidRPr="00D91FAD" w:rsidRDefault="003629A0" w:rsidP="003629A0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ИЗСЪХВАНЕ ПРИ 20º С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повърхностно - </w:t>
      </w:r>
      <w:r w:rsidRPr="00D91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 </w:t>
      </w:r>
      <w:r w:rsidRPr="00D91FAD">
        <w:rPr>
          <w:rFonts w:ascii="Arial" w:hAnsi="Arial" w:cs="Arial"/>
        </w:rPr>
        <w:t>1 час, в дълбочина – за 24 часа.</w:t>
      </w:r>
    </w:p>
    <w:p w:rsidR="003629A0" w:rsidRPr="001565B3" w:rsidRDefault="003629A0" w:rsidP="003629A0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200</w:t>
      </w:r>
      <w:r w:rsidRPr="00D91FA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250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за ръка</w:t>
      </w:r>
    </w:p>
    <w:p w:rsidR="003629A0" w:rsidRDefault="003629A0" w:rsidP="003629A0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СУХ ОСТАТЪК ПРИ 105</w:t>
      </w:r>
      <w:r w:rsidRPr="00D91FAD">
        <w:rPr>
          <w:rFonts w:ascii="Arial" w:hAnsi="Arial" w:cs="Arial"/>
          <w:b/>
        </w:rPr>
        <w:t>º С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46 % ± 1 %</w:t>
      </w:r>
    </w:p>
    <w:p w:rsidR="003629A0" w:rsidRDefault="003629A0" w:rsidP="003629A0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рН: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8.5 ± 1</w:t>
      </w:r>
    </w:p>
    <w:p w:rsidR="003629A0" w:rsidRPr="001565B3" w:rsidRDefault="003629A0" w:rsidP="003629A0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СРОК НА СЪХРАНЕНИЕ:</w:t>
      </w:r>
      <w:r>
        <w:rPr>
          <w:rFonts w:ascii="Arial" w:hAnsi="Arial" w:cs="Arial"/>
        </w:rPr>
        <w:tab/>
        <w:t>24 месеца</w:t>
      </w:r>
    </w:p>
    <w:p w:rsidR="003629A0" w:rsidRPr="00D91FAD" w:rsidRDefault="003629A0" w:rsidP="003629A0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ВИД НА ИЗСЪХНАЛИЯ ФИЛМ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  <w:t>гладък, лъскав</w:t>
      </w:r>
      <w:r>
        <w:rPr>
          <w:rFonts w:ascii="Arial" w:hAnsi="Arial" w:cs="Arial"/>
        </w:rPr>
        <w:t>, със златист ефект</w:t>
      </w:r>
    </w:p>
    <w:p w:rsidR="003629A0" w:rsidRPr="00D91FAD" w:rsidRDefault="003629A0" w:rsidP="003629A0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РАЗРЕДИТЕЛ</w:t>
      </w:r>
      <w:r>
        <w:rPr>
          <w:rFonts w:ascii="Arial" w:hAnsi="Arial" w:cs="Arial"/>
          <w:b/>
        </w:rPr>
        <w:t xml:space="preserve"> (за свеж продукт):</w:t>
      </w:r>
      <w:r>
        <w:rPr>
          <w:rFonts w:ascii="Arial" w:hAnsi="Arial" w:cs="Arial"/>
        </w:rPr>
        <w:tab/>
        <w:t>вода</w:t>
      </w:r>
    </w:p>
    <w:p w:rsidR="003629A0" w:rsidRDefault="003629A0" w:rsidP="003629A0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ЦВЕТОВЕ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</w:p>
    <w:p w:rsidR="003629A0" w:rsidRPr="00D91FAD" w:rsidRDefault="003629A0" w:rsidP="003629A0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lang w:val="en-US"/>
        </w:rPr>
        <w:t>l</w:t>
      </w:r>
      <w:r w:rsidRPr="007D18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D91FAD">
        <w:rPr>
          <w:rFonts w:ascii="Arial" w:hAnsi="Arial" w:cs="Arial"/>
        </w:rPr>
        <w:t xml:space="preserve"> 1 </w:t>
      </w:r>
      <w:r>
        <w:rPr>
          <w:rFonts w:ascii="Arial" w:hAnsi="Arial" w:cs="Arial"/>
          <w:lang w:val="en-US"/>
        </w:rPr>
        <w:t>l</w:t>
      </w:r>
    </w:p>
    <w:p w:rsidR="003629A0" w:rsidRPr="007D1851" w:rsidRDefault="003629A0" w:rsidP="003629A0">
      <w:pPr>
        <w:ind w:left="4320" w:hanging="4320"/>
        <w:rPr>
          <w:rFonts w:ascii="Arial" w:hAnsi="Arial" w:cs="Arial"/>
        </w:rPr>
      </w:pPr>
    </w:p>
    <w:p w:rsidR="003629A0" w:rsidRPr="00D91FAD" w:rsidRDefault="003629A0" w:rsidP="003629A0">
      <w:pPr>
        <w:rPr>
          <w:rFonts w:ascii="Arial" w:hAnsi="Arial" w:cs="Arial"/>
          <w:b/>
        </w:rPr>
      </w:pPr>
    </w:p>
    <w:p w:rsidR="003629A0" w:rsidRPr="00D91FAD" w:rsidRDefault="003629A0" w:rsidP="003629A0">
      <w:pPr>
        <w:rPr>
          <w:rFonts w:ascii="Arial" w:hAnsi="Arial" w:cs="Arial"/>
          <w:b/>
        </w:rPr>
      </w:pPr>
    </w:p>
    <w:p w:rsidR="003629A0" w:rsidRPr="00D91FAD" w:rsidRDefault="003629A0" w:rsidP="003629A0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3629A0" w:rsidRPr="00D91FAD" w:rsidRDefault="003629A0" w:rsidP="003629A0">
      <w:pPr>
        <w:rPr>
          <w:rFonts w:ascii="Arial" w:hAnsi="Arial" w:cs="Arial"/>
        </w:rPr>
      </w:pPr>
      <w:r w:rsidRPr="00D91FAD">
        <w:rPr>
          <w:rFonts w:ascii="Arial" w:hAnsi="Arial" w:cs="Arial"/>
        </w:rPr>
        <w:t>1) Оцветяван</w:t>
      </w:r>
      <w:r>
        <w:rPr>
          <w:rFonts w:ascii="Arial" w:hAnsi="Arial" w:cs="Arial"/>
        </w:rPr>
        <w:t>ия</w:t>
      </w:r>
      <w:r w:rsidRPr="00D91FAD">
        <w:rPr>
          <w:rFonts w:ascii="Arial" w:hAnsi="Arial" w:cs="Arial"/>
        </w:rPr>
        <w:t xml:space="preserve"> за постигане на декоративни ефекти;</w:t>
      </w:r>
    </w:p>
    <w:p w:rsidR="003629A0" w:rsidRPr="00D91FAD" w:rsidRDefault="003629A0" w:rsidP="003629A0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3629A0" w:rsidRPr="00D91FAD" w:rsidRDefault="003629A0" w:rsidP="003629A0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01.01.2010 г. = 200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3629A0" w:rsidRPr="00D91FAD" w:rsidRDefault="003629A0" w:rsidP="003629A0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</w:p>
    <w:p w:rsidR="003629A0" w:rsidRPr="00D91FAD" w:rsidRDefault="003629A0" w:rsidP="003629A0">
      <w:pPr>
        <w:rPr>
          <w:rFonts w:ascii="Arial" w:hAnsi="Arial" w:cs="Arial"/>
        </w:rPr>
      </w:pPr>
      <w:r w:rsidRPr="00D423FA">
        <w:rPr>
          <w:rFonts w:ascii="Arial" w:hAnsi="Arial" w:cs="Arial"/>
        </w:rPr>
        <w:lastRenderedPageBreak/>
        <w:t>1</w:t>
      </w:r>
      <w:r>
        <w:rPr>
          <w:rFonts w:ascii="Arial" w:hAnsi="Arial" w:cs="Arial"/>
        </w:rPr>
        <w:t>75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3629A0" w:rsidRPr="00D423FA" w:rsidRDefault="003629A0" w:rsidP="003629A0">
      <w:pPr>
        <w:rPr>
          <w:rFonts w:ascii="Arial" w:hAnsi="Arial" w:cs="Arial"/>
        </w:rPr>
      </w:pPr>
    </w:p>
    <w:p w:rsidR="003629A0" w:rsidRPr="00D423FA" w:rsidRDefault="003629A0" w:rsidP="003629A0">
      <w:pPr>
        <w:rPr>
          <w:rFonts w:ascii="Arial" w:hAnsi="Arial" w:cs="Arial"/>
        </w:rPr>
      </w:pPr>
    </w:p>
    <w:p w:rsidR="003629A0" w:rsidRPr="00D91FAD" w:rsidRDefault="003629A0" w:rsidP="003629A0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3629A0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</w:rPr>
      </w:pPr>
    </w:p>
    <w:p w:rsidR="003629A0" w:rsidRPr="00D91FAD" w:rsidRDefault="003629A0" w:rsidP="003629A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629A0" w:rsidRPr="00D91FAD" w:rsidTr="001D6937">
        <w:tc>
          <w:tcPr>
            <w:tcW w:w="9212" w:type="dxa"/>
          </w:tcPr>
          <w:p w:rsidR="003629A0" w:rsidRPr="00A04F5E" w:rsidRDefault="003629A0" w:rsidP="001D6937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891</w:t>
            </w:r>
            <w:r w:rsidRPr="00D91F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EMPHASIS</w:t>
            </w:r>
          </w:p>
        </w:tc>
      </w:tr>
    </w:tbl>
    <w:p w:rsidR="003629A0" w:rsidRPr="00D91FAD" w:rsidRDefault="003629A0" w:rsidP="003629A0">
      <w:pPr>
        <w:rPr>
          <w:rFonts w:ascii="Arial" w:hAnsi="Arial" w:cs="Arial"/>
        </w:rPr>
      </w:pPr>
    </w:p>
    <w:p w:rsidR="003629A0" w:rsidRPr="00FF5113" w:rsidRDefault="003629A0" w:rsidP="003629A0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Полагане на </w:t>
      </w:r>
      <w:r w:rsidRPr="00177331">
        <w:rPr>
          <w:rFonts w:ascii="Arial" w:hAnsi="Arial" w:cs="Arial"/>
          <w:b/>
          <w:lang w:val="en-US"/>
        </w:rPr>
        <w:t>EMPHASIS</w:t>
      </w:r>
      <w:r w:rsidRPr="00D91F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г</w:t>
      </w:r>
      <w:r w:rsidRPr="00177331">
        <w:rPr>
          <w:rFonts w:ascii="Arial" w:hAnsi="Arial" w:cs="Arial"/>
        </w:rPr>
        <w:t xml:space="preserve">ипсово </w:t>
      </w:r>
      <w:r>
        <w:rPr>
          <w:rFonts w:ascii="Arial" w:hAnsi="Arial" w:cs="Arial"/>
        </w:rPr>
        <w:t>декоративно</w:t>
      </w:r>
      <w:r w:rsidRPr="00177331">
        <w:rPr>
          <w:rFonts w:ascii="Arial" w:hAnsi="Arial" w:cs="Arial"/>
        </w:rPr>
        <w:t xml:space="preserve"> покритие, имащ</w:t>
      </w:r>
      <w:r>
        <w:rPr>
          <w:rFonts w:ascii="Arial" w:hAnsi="Arial" w:cs="Arial"/>
        </w:rPr>
        <w:t>о</w:t>
      </w:r>
      <w:r w:rsidRPr="00177331">
        <w:rPr>
          <w:rFonts w:ascii="Arial" w:hAnsi="Arial" w:cs="Arial"/>
        </w:rPr>
        <w:t xml:space="preserve"> златист ефект, със специални златисти и ярки пигменти с променлив нюанс („шанжан”), за придаване топлина на интериорната атмосфера</w:t>
      </w:r>
      <w:r>
        <w:rPr>
          <w:rFonts w:ascii="Arial" w:hAnsi="Arial" w:cs="Arial"/>
        </w:rPr>
        <w:t xml:space="preserve">, миещ се продукт, много устойчив на остъргване, приложим за декорация на интериор върху всички видове повърхности, за които се изисква висококачествено декоративно финално покритие, съчетано с отлична възможност за миене и водоотблъскваемост; полага се върху подходящо подготвени и идеално полирани повърхности, с помощта на стоманена шпакла, една ръка от </w:t>
      </w:r>
      <w:r w:rsidRPr="00177331">
        <w:rPr>
          <w:rFonts w:ascii="Arial" w:hAnsi="Arial" w:cs="Arial"/>
          <w:b/>
          <w:lang w:val="en-US"/>
        </w:rPr>
        <w:t>EMPHASIS</w:t>
      </w:r>
      <w:r>
        <w:rPr>
          <w:rFonts w:ascii="Arial" w:hAnsi="Arial" w:cs="Arial"/>
        </w:rPr>
        <w:t>, посредством широки нанасяния, до пълното покриване на подложката. Изчаква се 5 – 8 часа и след това се нанася втора ръка, оформяйки желания ефект.</w:t>
      </w:r>
    </w:p>
    <w:p w:rsidR="003629A0" w:rsidRPr="00177331" w:rsidRDefault="003629A0" w:rsidP="003629A0">
      <w:pPr>
        <w:rPr>
          <w:rFonts w:ascii="Arial" w:hAnsi="Arial" w:cs="Arial"/>
        </w:rPr>
      </w:pPr>
    </w:p>
    <w:p w:rsidR="003629A0" w:rsidRPr="00177331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  <w:b/>
        </w:rPr>
      </w:pPr>
    </w:p>
    <w:p w:rsidR="003629A0" w:rsidRPr="00D91FAD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</w:rPr>
      </w:pPr>
    </w:p>
    <w:p w:rsidR="003629A0" w:rsidRDefault="003629A0" w:rsidP="003629A0">
      <w:pPr>
        <w:rPr>
          <w:rFonts w:ascii="Arial" w:hAnsi="Arial" w:cs="Arial"/>
          <w:sz w:val="22"/>
          <w:szCs w:val="22"/>
        </w:rPr>
      </w:pPr>
    </w:p>
    <w:p w:rsidR="003629A0" w:rsidRDefault="003629A0" w:rsidP="003629A0">
      <w:pPr>
        <w:rPr>
          <w:rFonts w:ascii="Arial" w:hAnsi="Arial" w:cs="Arial"/>
          <w:sz w:val="22"/>
          <w:szCs w:val="22"/>
        </w:rPr>
      </w:pPr>
    </w:p>
    <w:p w:rsidR="003629A0" w:rsidRPr="00D91FAD" w:rsidRDefault="003629A0" w:rsidP="003629A0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995E3D" w:rsidRPr="003629A0" w:rsidRDefault="00995E3D" w:rsidP="003629A0">
      <w:bookmarkStart w:id="0" w:name="_GoBack"/>
      <w:bookmarkEnd w:id="0"/>
    </w:p>
    <w:sectPr w:rsidR="00995E3D" w:rsidRPr="00362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4065"/>
    <w:multiLevelType w:val="hybridMultilevel"/>
    <w:tmpl w:val="41DA9630"/>
    <w:lvl w:ilvl="0" w:tplc="0402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4E1597"/>
    <w:multiLevelType w:val="hybridMultilevel"/>
    <w:tmpl w:val="D998321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4B703F1"/>
    <w:multiLevelType w:val="hybridMultilevel"/>
    <w:tmpl w:val="DF0A22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042AC"/>
    <w:rsid w:val="002155BE"/>
    <w:rsid w:val="002237B1"/>
    <w:rsid w:val="00226FB9"/>
    <w:rsid w:val="00230F0F"/>
    <w:rsid w:val="00233E12"/>
    <w:rsid w:val="00241459"/>
    <w:rsid w:val="0024555D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629A0"/>
    <w:rsid w:val="00392580"/>
    <w:rsid w:val="003A6878"/>
    <w:rsid w:val="003B16FA"/>
    <w:rsid w:val="003F1280"/>
    <w:rsid w:val="00406DD0"/>
    <w:rsid w:val="00415B1C"/>
    <w:rsid w:val="00425F21"/>
    <w:rsid w:val="00436CF0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0D05"/>
    <w:rsid w:val="00657223"/>
    <w:rsid w:val="006724F9"/>
    <w:rsid w:val="00675B11"/>
    <w:rsid w:val="00692349"/>
    <w:rsid w:val="006B3C4A"/>
    <w:rsid w:val="006E0818"/>
    <w:rsid w:val="0070370A"/>
    <w:rsid w:val="00720252"/>
    <w:rsid w:val="007277A2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AED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4E98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72F11"/>
    <w:rsid w:val="00A82025"/>
    <w:rsid w:val="00AC691C"/>
    <w:rsid w:val="00AE7781"/>
    <w:rsid w:val="00AF7614"/>
    <w:rsid w:val="00B23EE5"/>
    <w:rsid w:val="00B54648"/>
    <w:rsid w:val="00B57199"/>
    <w:rsid w:val="00B62E32"/>
    <w:rsid w:val="00B71B74"/>
    <w:rsid w:val="00B7354E"/>
    <w:rsid w:val="00B809DD"/>
    <w:rsid w:val="00B91084"/>
    <w:rsid w:val="00BA63EE"/>
    <w:rsid w:val="00BB36A5"/>
    <w:rsid w:val="00BC03D3"/>
    <w:rsid w:val="00BD2DF1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0F75"/>
    <w:rsid w:val="00CD77C3"/>
    <w:rsid w:val="00CF7973"/>
    <w:rsid w:val="00D01741"/>
    <w:rsid w:val="00D06A8A"/>
    <w:rsid w:val="00D30FE8"/>
    <w:rsid w:val="00D37166"/>
    <w:rsid w:val="00D433EE"/>
    <w:rsid w:val="00D4671B"/>
    <w:rsid w:val="00D63BF5"/>
    <w:rsid w:val="00D8685E"/>
    <w:rsid w:val="00DB35A6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2DD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0411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20252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20252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2017-01-24T13:42:00Z</dcterms:created>
  <dcterms:modified xsi:type="dcterms:W3CDTF">2017-01-24T13:42:00Z</dcterms:modified>
</cp:coreProperties>
</file>